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77D7" w14:textId="77777777" w:rsidR="00020CBD" w:rsidRDefault="00020CBD" w:rsidP="00D263E1">
      <w:pPr>
        <w:pStyle w:val="Heading1"/>
        <w:spacing w:line="240" w:lineRule="auto"/>
        <w:jc w:val="center"/>
      </w:pPr>
    </w:p>
    <w:p w14:paraId="765A735C" w14:textId="79324726" w:rsidR="0065387D" w:rsidRPr="00043BBE" w:rsidRDefault="000C22CC" w:rsidP="00D263E1">
      <w:pPr>
        <w:pStyle w:val="Heading1"/>
        <w:spacing w:line="240" w:lineRule="auto"/>
        <w:jc w:val="center"/>
      </w:pPr>
      <w:r>
        <w:t>Investment</w:t>
      </w:r>
      <w:r w:rsidR="00DE2E2E" w:rsidRPr="00043BBE">
        <w:t xml:space="preserve"> Committee</w:t>
      </w:r>
    </w:p>
    <w:p w14:paraId="0708998B" w14:textId="77777777" w:rsidR="00FD3BCE" w:rsidRDefault="00FD3BCE" w:rsidP="00D263E1">
      <w:pPr>
        <w:spacing w:line="240" w:lineRule="auto"/>
        <w:jc w:val="center"/>
        <w:rPr>
          <w:b/>
        </w:rPr>
      </w:pPr>
      <w:r w:rsidRPr="00043BBE">
        <w:rPr>
          <w:b/>
        </w:rPr>
        <w:t>Terms of reference and delegated authority</w:t>
      </w:r>
    </w:p>
    <w:p w14:paraId="5591A7FF" w14:textId="3DD0816B" w:rsidR="005A180B" w:rsidRDefault="005A180B" w:rsidP="00D263E1">
      <w:pPr>
        <w:spacing w:line="240" w:lineRule="auto"/>
        <w:jc w:val="center"/>
      </w:pPr>
      <w:r>
        <w:rPr>
          <w:b/>
        </w:rPr>
        <w:t>Year effective: 202</w:t>
      </w:r>
      <w:r w:rsidR="009C736F">
        <w:rPr>
          <w:b/>
        </w:rPr>
        <w:t>5</w:t>
      </w:r>
    </w:p>
    <w:p w14:paraId="7875333A" w14:textId="77777777" w:rsidR="004A66ED" w:rsidRPr="00F7045C" w:rsidRDefault="004A66ED" w:rsidP="00043BBE">
      <w:pPr>
        <w:spacing w:line="240" w:lineRule="auto"/>
        <w:rPr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AB079E" w14:paraId="309C0A5C" w14:textId="77777777" w:rsidTr="00086856">
        <w:tc>
          <w:tcPr>
            <w:tcW w:w="3119" w:type="dxa"/>
          </w:tcPr>
          <w:p w14:paraId="433B2AC9" w14:textId="77777777" w:rsidR="00AB079E" w:rsidRPr="005A180B" w:rsidRDefault="00AB079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Establishment and Powers</w:t>
            </w:r>
          </w:p>
        </w:tc>
        <w:tc>
          <w:tcPr>
            <w:tcW w:w="6946" w:type="dxa"/>
          </w:tcPr>
          <w:p w14:paraId="4FE53E74" w14:textId="77777777" w:rsidR="00AB079E" w:rsidRDefault="00AB079E" w:rsidP="00FB0F03">
            <w:pPr>
              <w:pStyle w:val="Heading2"/>
              <w:spacing w:line="240" w:lineRule="auto"/>
              <w:rPr>
                <w:b w:val="0"/>
                <w:sz w:val="22"/>
                <w:szCs w:val="22"/>
              </w:rPr>
            </w:pPr>
            <w:r w:rsidRPr="00FB0F03">
              <w:rPr>
                <w:b w:val="0"/>
                <w:bCs w:val="0"/>
                <w:sz w:val="22"/>
                <w:szCs w:val="22"/>
              </w:rPr>
              <w:t>This Committee is established on the authority of the Board and powers and responsibilities are dele</w:t>
            </w:r>
            <w:r w:rsidR="00227071">
              <w:rPr>
                <w:b w:val="0"/>
                <w:sz w:val="22"/>
                <w:szCs w:val="22"/>
              </w:rPr>
              <w:t>g</w:t>
            </w:r>
            <w:r w:rsidRPr="00FB0F03">
              <w:rPr>
                <w:b w:val="0"/>
                <w:bCs w:val="0"/>
                <w:sz w:val="22"/>
                <w:szCs w:val="22"/>
              </w:rPr>
              <w:t>ated to it from the Board.</w:t>
            </w:r>
            <w:r w:rsidR="00227071">
              <w:rPr>
                <w:b w:val="0"/>
                <w:sz w:val="22"/>
                <w:szCs w:val="22"/>
              </w:rPr>
              <w:t xml:space="preserve"> Any changes to such require Board Approval.</w:t>
            </w:r>
          </w:p>
          <w:p w14:paraId="2899D563" w14:textId="77777777" w:rsidR="00FB0F03" w:rsidRPr="00FB0F03" w:rsidRDefault="00FB0F03" w:rsidP="00FB0F03"/>
        </w:tc>
      </w:tr>
      <w:tr w:rsidR="00DE2E2E" w14:paraId="501EBBA7" w14:textId="77777777" w:rsidTr="00086856">
        <w:tc>
          <w:tcPr>
            <w:tcW w:w="3119" w:type="dxa"/>
            <w:hideMark/>
          </w:tcPr>
          <w:p w14:paraId="6D464BA1" w14:textId="77777777" w:rsidR="00DE2E2E" w:rsidRPr="005A180B" w:rsidRDefault="00DE2E2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Chairperson:</w:t>
            </w:r>
          </w:p>
        </w:tc>
        <w:tc>
          <w:tcPr>
            <w:tcW w:w="6946" w:type="dxa"/>
            <w:hideMark/>
          </w:tcPr>
          <w:p w14:paraId="1C818E43" w14:textId="17566573" w:rsidR="00FB0F03" w:rsidRDefault="00D624AA" w:rsidP="00043BBE">
            <w:pPr>
              <w:spacing w:line="240" w:lineRule="auto"/>
              <w:jc w:val="both"/>
            </w:pPr>
            <w:r>
              <w:t>The Chair will be a member of the Board and appointed by the Board. The Chair will not be an Executive.</w:t>
            </w:r>
          </w:p>
          <w:p w14:paraId="313B6F04" w14:textId="77777777" w:rsidR="002A65FE" w:rsidRDefault="002A65FE" w:rsidP="00043BBE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DE2E2E" w14:paraId="4CB97FB9" w14:textId="77777777" w:rsidTr="00086856">
        <w:tc>
          <w:tcPr>
            <w:tcW w:w="3119" w:type="dxa"/>
            <w:hideMark/>
          </w:tcPr>
          <w:p w14:paraId="4611CF48" w14:textId="77777777" w:rsidR="00DE2E2E" w:rsidRPr="005A180B" w:rsidRDefault="00DE2E2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Deputy:</w:t>
            </w:r>
          </w:p>
        </w:tc>
        <w:tc>
          <w:tcPr>
            <w:tcW w:w="6946" w:type="dxa"/>
            <w:hideMark/>
          </w:tcPr>
          <w:p w14:paraId="3449E04A" w14:textId="77777777" w:rsidR="00060745" w:rsidRDefault="00DE2E2E" w:rsidP="00043BBE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  <w:p w14:paraId="34E4E888" w14:textId="77777777" w:rsidR="002A65FE" w:rsidRDefault="002A65FE" w:rsidP="00043BBE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DE2E2E" w14:paraId="0A8B519A" w14:textId="77777777" w:rsidTr="00086856">
        <w:tc>
          <w:tcPr>
            <w:tcW w:w="3119" w:type="dxa"/>
            <w:hideMark/>
          </w:tcPr>
          <w:p w14:paraId="0365BFA4" w14:textId="77777777" w:rsidR="00DE2E2E" w:rsidRPr="005A180B" w:rsidRDefault="00DE2E2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Quorum:</w:t>
            </w:r>
          </w:p>
        </w:tc>
        <w:tc>
          <w:tcPr>
            <w:tcW w:w="6946" w:type="dxa"/>
            <w:hideMark/>
          </w:tcPr>
          <w:p w14:paraId="7175AB7A" w14:textId="10393199" w:rsidR="00060745" w:rsidRDefault="00DE2E2E" w:rsidP="00043BBE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Two members</w:t>
            </w:r>
            <w:r w:rsidR="005A180B">
              <w:rPr>
                <w:rFonts w:cs="Arial"/>
              </w:rPr>
              <w:t xml:space="preserve"> one of which must be a Board Member</w:t>
            </w:r>
          </w:p>
          <w:p w14:paraId="1F6F43DE" w14:textId="77777777" w:rsidR="002A65FE" w:rsidRDefault="002A65FE" w:rsidP="00043BBE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DE2E2E" w14:paraId="17A18B01" w14:textId="77777777" w:rsidTr="00086856">
        <w:tc>
          <w:tcPr>
            <w:tcW w:w="3119" w:type="dxa"/>
            <w:hideMark/>
          </w:tcPr>
          <w:p w14:paraId="1DC62C08" w14:textId="77777777" w:rsidR="00DE2E2E" w:rsidRPr="005A180B" w:rsidRDefault="00DE2E2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Membership:</w:t>
            </w:r>
          </w:p>
        </w:tc>
        <w:tc>
          <w:tcPr>
            <w:tcW w:w="6946" w:type="dxa"/>
            <w:hideMark/>
          </w:tcPr>
          <w:p w14:paraId="5693F364" w14:textId="07473EDC" w:rsidR="00060745" w:rsidRDefault="00DE2E2E" w:rsidP="009D40D5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At least three members appointed by the Board. </w:t>
            </w:r>
            <w:r w:rsidR="000C22CC">
              <w:rPr>
                <w:rFonts w:cs="Arial"/>
              </w:rPr>
              <w:t xml:space="preserve">At least two members will be </w:t>
            </w:r>
            <w:r w:rsidR="00713908">
              <w:rPr>
                <w:rFonts w:cs="Arial"/>
              </w:rPr>
              <w:t xml:space="preserve">Non-Executive </w:t>
            </w:r>
            <w:r w:rsidR="000C22CC">
              <w:rPr>
                <w:rFonts w:cs="Arial"/>
              </w:rPr>
              <w:t>Board Members</w:t>
            </w:r>
            <w:r w:rsidR="00BA0C59">
              <w:rPr>
                <w:rFonts w:cs="Arial"/>
              </w:rPr>
              <w:t xml:space="preserve"> and the Board may also appoint up to 2 co-</w:t>
            </w:r>
            <w:proofErr w:type="spellStart"/>
            <w:r w:rsidR="00BA0C59">
              <w:rPr>
                <w:rFonts w:cs="Arial"/>
              </w:rPr>
              <w:t>optees</w:t>
            </w:r>
            <w:proofErr w:type="spellEnd"/>
            <w:r w:rsidR="001A631E">
              <w:rPr>
                <w:rFonts w:cs="Arial"/>
              </w:rPr>
              <w:t xml:space="preserve"> </w:t>
            </w:r>
            <w:r w:rsidR="001A631E">
              <w:t>(co-</w:t>
            </w:r>
            <w:proofErr w:type="spellStart"/>
            <w:r w:rsidR="001A631E">
              <w:t>optees</w:t>
            </w:r>
            <w:proofErr w:type="spellEnd"/>
            <w:r w:rsidR="001A631E">
              <w:t xml:space="preserve"> or ‘independent’ committee members are non-executives who are appointed as Committee Members but do not sit on the Board)</w:t>
            </w:r>
          </w:p>
          <w:p w14:paraId="04ED1DEC" w14:textId="77777777" w:rsidR="002A65FE" w:rsidRPr="00060745" w:rsidRDefault="002A65FE" w:rsidP="00043BBE">
            <w:pPr>
              <w:pStyle w:val="ListParagraph"/>
              <w:spacing w:line="240" w:lineRule="auto"/>
              <w:ind w:left="720"/>
              <w:contextualSpacing/>
              <w:jc w:val="both"/>
              <w:rPr>
                <w:rFonts w:cs="Arial"/>
              </w:rPr>
            </w:pPr>
          </w:p>
        </w:tc>
      </w:tr>
      <w:tr w:rsidR="00DE2E2E" w14:paraId="208426E1" w14:textId="77777777" w:rsidTr="00086856">
        <w:tc>
          <w:tcPr>
            <w:tcW w:w="3119" w:type="dxa"/>
            <w:hideMark/>
          </w:tcPr>
          <w:p w14:paraId="2B5E558B" w14:textId="77777777" w:rsidR="00DE2E2E" w:rsidRPr="005A180B" w:rsidRDefault="00DE2E2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Frequency of meetings:</w:t>
            </w:r>
          </w:p>
        </w:tc>
        <w:tc>
          <w:tcPr>
            <w:tcW w:w="6946" w:type="dxa"/>
          </w:tcPr>
          <w:p w14:paraId="5D048777" w14:textId="77777777" w:rsidR="00060745" w:rsidRDefault="00DE2E2E" w:rsidP="00043BBE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At least </w:t>
            </w:r>
            <w:r w:rsidR="00C11D4D">
              <w:rPr>
                <w:rFonts w:cs="Arial"/>
              </w:rPr>
              <w:t xml:space="preserve">four </w:t>
            </w:r>
            <w:r>
              <w:rPr>
                <w:rFonts w:cs="Arial"/>
              </w:rPr>
              <w:t>times per year.</w:t>
            </w:r>
          </w:p>
          <w:p w14:paraId="11CDD57F" w14:textId="77777777" w:rsidR="002A65FE" w:rsidRDefault="002A65FE" w:rsidP="00043BBE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DE2E2E" w14:paraId="79E6176C" w14:textId="77777777" w:rsidTr="00086856">
        <w:tc>
          <w:tcPr>
            <w:tcW w:w="3119" w:type="dxa"/>
            <w:hideMark/>
          </w:tcPr>
          <w:p w14:paraId="08D452FE" w14:textId="77777777" w:rsidR="00DE2E2E" w:rsidRPr="005A180B" w:rsidRDefault="00DE2E2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Main Purpose:</w:t>
            </w:r>
          </w:p>
        </w:tc>
        <w:tc>
          <w:tcPr>
            <w:tcW w:w="6946" w:type="dxa"/>
          </w:tcPr>
          <w:p w14:paraId="5480982A" w14:textId="77777777" w:rsidR="002A65FE" w:rsidRDefault="000C22CC" w:rsidP="00043BBE">
            <w:pPr>
              <w:spacing w:line="240" w:lineRule="auto"/>
              <w:jc w:val="both"/>
            </w:pPr>
            <w:r>
              <w:t>To oversee the Group’s Capital Investment programmes including development</w:t>
            </w:r>
            <w:r w:rsidR="00555A74">
              <w:t xml:space="preserve"> and reinvestment</w:t>
            </w:r>
            <w:r>
              <w:t>, to ensure efficient and effective use of the Group’s capital resources</w:t>
            </w:r>
            <w:r w:rsidR="00BA0C59">
              <w:t xml:space="preserve"> to achieve its mission, aims and ambitions</w:t>
            </w:r>
            <w:r>
              <w:t>.</w:t>
            </w:r>
          </w:p>
          <w:p w14:paraId="43CBAFE2" w14:textId="77777777" w:rsidR="0047377E" w:rsidRDefault="0047377E" w:rsidP="00043BBE">
            <w:pPr>
              <w:spacing w:line="240" w:lineRule="auto"/>
              <w:jc w:val="both"/>
            </w:pPr>
          </w:p>
          <w:p w14:paraId="14D98F99" w14:textId="58FB7FA1" w:rsidR="0047377E" w:rsidRDefault="0047377E" w:rsidP="00043BBE">
            <w:pPr>
              <w:spacing w:line="240" w:lineRule="auto"/>
              <w:jc w:val="both"/>
            </w:pPr>
            <w:r>
              <w:t>To oversee delivery of the Asset Management Strategy and annual Programme including planned and responsive repairs.</w:t>
            </w:r>
          </w:p>
          <w:p w14:paraId="645A5E72" w14:textId="77777777" w:rsidR="000C22CC" w:rsidRDefault="000C22CC" w:rsidP="00043BBE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DE2E2E" w14:paraId="46D79F5B" w14:textId="77777777" w:rsidTr="00086856">
        <w:tc>
          <w:tcPr>
            <w:tcW w:w="3119" w:type="dxa"/>
            <w:hideMark/>
          </w:tcPr>
          <w:p w14:paraId="0B1D8C8A" w14:textId="77777777" w:rsidR="00DE2E2E" w:rsidRPr="005A180B" w:rsidRDefault="00DE2E2E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Serviced By:</w:t>
            </w:r>
          </w:p>
        </w:tc>
        <w:tc>
          <w:tcPr>
            <w:tcW w:w="6946" w:type="dxa"/>
          </w:tcPr>
          <w:p w14:paraId="33BD4BFF" w14:textId="77777777" w:rsidR="002A65FE" w:rsidRDefault="001A01EC" w:rsidP="00043BBE">
            <w:pPr>
              <w:spacing w:line="240" w:lineRule="auto"/>
              <w:jc w:val="both"/>
            </w:pPr>
            <w:r>
              <w:t>The Governance Team</w:t>
            </w:r>
          </w:p>
          <w:p w14:paraId="6881639E" w14:textId="3B0E6ECC" w:rsidR="001A01EC" w:rsidRDefault="001A01EC" w:rsidP="00043BBE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DE2E2E" w14:paraId="24B1434D" w14:textId="77777777" w:rsidTr="00086856">
        <w:tc>
          <w:tcPr>
            <w:tcW w:w="3119" w:type="dxa"/>
          </w:tcPr>
          <w:p w14:paraId="590942AB" w14:textId="58E7B04E" w:rsidR="00DE2E2E" w:rsidRPr="005A180B" w:rsidRDefault="005A180B" w:rsidP="00043BBE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Executive Lead:</w:t>
            </w:r>
          </w:p>
        </w:tc>
        <w:tc>
          <w:tcPr>
            <w:tcW w:w="6946" w:type="dxa"/>
          </w:tcPr>
          <w:p w14:paraId="534F8771" w14:textId="6214AA32" w:rsidR="00DE2E2E" w:rsidRDefault="00587214" w:rsidP="00043BBE">
            <w:pPr>
              <w:spacing w:line="240" w:lineRule="auto"/>
              <w:jc w:val="both"/>
              <w:rPr>
                <w:rFonts w:cs="Arial"/>
              </w:rPr>
            </w:pPr>
            <w:r>
              <w:t>Chief Executive</w:t>
            </w:r>
            <w:r>
              <w:rPr>
                <w:rFonts w:cs="Arial"/>
              </w:rPr>
              <w:t xml:space="preserve"> of Habinteg</w:t>
            </w:r>
            <w:r w:rsidR="002C6063">
              <w:rPr>
                <w:rFonts w:cs="Arial"/>
              </w:rPr>
              <w:t xml:space="preserve"> (Executive Lead)</w:t>
            </w:r>
          </w:p>
          <w:p w14:paraId="2622EB80" w14:textId="77777777" w:rsidR="002A65FE" w:rsidRDefault="002A65FE" w:rsidP="005A180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220284" w14:paraId="3FE9053D" w14:textId="77777777" w:rsidTr="00086856">
        <w:tc>
          <w:tcPr>
            <w:tcW w:w="3119" w:type="dxa"/>
          </w:tcPr>
          <w:p w14:paraId="3F6FA47C" w14:textId="4B638ACF" w:rsidR="00220284" w:rsidRPr="005A180B" w:rsidRDefault="00220284" w:rsidP="00043BBE">
            <w:pPr>
              <w:spacing w:line="240" w:lineRule="auto"/>
              <w:rPr>
                <w:rFonts w:cs="Arial"/>
                <w:b/>
                <w:bCs/>
              </w:rPr>
            </w:pPr>
            <w:r w:rsidRPr="005A180B">
              <w:rPr>
                <w:rFonts w:cs="Arial"/>
                <w:b/>
                <w:bCs/>
              </w:rPr>
              <w:t>Other Support</w:t>
            </w:r>
            <w:r w:rsidR="005A180B">
              <w:rPr>
                <w:rFonts w:cs="Arial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3905F5C6" w14:textId="77777777" w:rsidR="00220284" w:rsidRPr="00220284" w:rsidRDefault="00220284" w:rsidP="00FB0F03">
            <w:pPr>
              <w:spacing w:line="240" w:lineRule="auto"/>
              <w:rPr>
                <w:bCs/>
                <w:szCs w:val="22"/>
                <w:lang w:eastAsia="en-GB"/>
              </w:rPr>
            </w:pPr>
            <w:r>
              <w:t xml:space="preserve">The </w:t>
            </w:r>
            <w:r w:rsidR="000C22CC">
              <w:t>I</w:t>
            </w:r>
            <w:r>
              <w:t>C is authorised t</w:t>
            </w:r>
            <w:r w:rsidRPr="00220284">
              <w:rPr>
                <w:bCs/>
                <w:szCs w:val="22"/>
                <w:lang w:eastAsia="en-GB"/>
              </w:rPr>
              <w:t>o obtain external</w:t>
            </w:r>
            <w:r>
              <w:rPr>
                <w:bCs/>
                <w:szCs w:val="22"/>
                <w:lang w:eastAsia="en-GB"/>
              </w:rPr>
              <w:t>,</w:t>
            </w:r>
            <w:r w:rsidRPr="00220284">
              <w:rPr>
                <w:bCs/>
                <w:szCs w:val="22"/>
                <w:lang w:eastAsia="en-GB"/>
              </w:rPr>
              <w:t xml:space="preserve"> legal or other professional advice on any matters within its terms of reference</w:t>
            </w:r>
            <w:r>
              <w:rPr>
                <w:bCs/>
                <w:szCs w:val="22"/>
                <w:lang w:eastAsia="en-GB"/>
              </w:rPr>
              <w:t xml:space="preserve"> with due regard to Value for Money</w:t>
            </w:r>
            <w:r w:rsidRPr="00220284">
              <w:rPr>
                <w:bCs/>
                <w:szCs w:val="22"/>
                <w:lang w:eastAsia="en-GB"/>
              </w:rPr>
              <w:t xml:space="preserve">. The </w:t>
            </w:r>
            <w:r w:rsidR="000C22CC">
              <w:rPr>
                <w:bCs/>
                <w:szCs w:val="22"/>
                <w:lang w:eastAsia="en-GB"/>
              </w:rPr>
              <w:t>I</w:t>
            </w:r>
            <w:r w:rsidRPr="00220284">
              <w:rPr>
                <w:bCs/>
                <w:szCs w:val="22"/>
                <w:lang w:eastAsia="en-GB"/>
              </w:rPr>
              <w:t>C is also authorised, within budgetary restraints imposed by the Board, to commission or purchase any relevant reports, surveys or information which it deems necessary to help fulfil its duties.</w:t>
            </w:r>
          </w:p>
          <w:p w14:paraId="34B286C5" w14:textId="77777777" w:rsidR="00220284" w:rsidRDefault="00220284" w:rsidP="00043BBE">
            <w:pPr>
              <w:spacing w:line="240" w:lineRule="auto"/>
              <w:jc w:val="both"/>
            </w:pPr>
          </w:p>
        </w:tc>
      </w:tr>
      <w:tr w:rsidR="00587214" w14:paraId="2D6D9888" w14:textId="77777777" w:rsidTr="00086856">
        <w:tc>
          <w:tcPr>
            <w:tcW w:w="3119" w:type="dxa"/>
          </w:tcPr>
          <w:p w14:paraId="697ACE8C" w14:textId="77777777" w:rsidR="00587214" w:rsidRDefault="00587214" w:rsidP="00043BBE">
            <w:pPr>
              <w:spacing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Minutes</w:t>
            </w:r>
          </w:p>
        </w:tc>
        <w:tc>
          <w:tcPr>
            <w:tcW w:w="6946" w:type="dxa"/>
          </w:tcPr>
          <w:p w14:paraId="2752C573" w14:textId="77777777" w:rsidR="00587214" w:rsidRDefault="00587214" w:rsidP="00043BBE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Minutes to be taken by </w:t>
            </w:r>
            <w:r w:rsidR="00C11D4D">
              <w:rPr>
                <w:rFonts w:cs="Arial"/>
              </w:rPr>
              <w:t>a member of the Governance Team</w:t>
            </w:r>
            <w:r w:rsidR="005C2741">
              <w:rPr>
                <w:rFonts w:cs="Arial"/>
              </w:rPr>
              <w:t>.</w:t>
            </w:r>
          </w:p>
        </w:tc>
      </w:tr>
    </w:tbl>
    <w:p w14:paraId="24861ADF" w14:textId="28E0471F" w:rsidR="00086856" w:rsidRDefault="00086856" w:rsidP="00043BBE">
      <w:pPr>
        <w:spacing w:line="240" w:lineRule="auto"/>
      </w:pPr>
    </w:p>
    <w:p w14:paraId="3F154036" w14:textId="77777777" w:rsidR="00086856" w:rsidRDefault="00086856">
      <w:pPr>
        <w:spacing w:after="200"/>
      </w:pPr>
      <w:r>
        <w:br w:type="page"/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9021"/>
      </w:tblGrid>
      <w:tr w:rsidR="00E83136" w:rsidRPr="00BC072E" w14:paraId="67D69CD2" w14:textId="77777777" w:rsidTr="00454B7A">
        <w:tc>
          <w:tcPr>
            <w:tcW w:w="9588" w:type="dxa"/>
            <w:gridSpan w:val="2"/>
            <w:shd w:val="clear" w:color="auto" w:fill="D9D9D9" w:themeFill="background1" w:themeFillShade="D9"/>
          </w:tcPr>
          <w:p w14:paraId="47C190A3" w14:textId="77777777" w:rsidR="00E83136" w:rsidRPr="00FB0F03" w:rsidRDefault="000A116B" w:rsidP="00F13A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Responsibilities and Delegated Authority</w:t>
            </w:r>
          </w:p>
        </w:tc>
      </w:tr>
      <w:tr w:rsidR="0084271A" w:rsidRPr="00BC072E" w14:paraId="404D5E66" w14:textId="77777777" w:rsidTr="005A180B">
        <w:tc>
          <w:tcPr>
            <w:tcW w:w="567" w:type="dxa"/>
          </w:tcPr>
          <w:p w14:paraId="746D0A9D" w14:textId="4E740812" w:rsidR="0084271A" w:rsidRPr="00454B7A" w:rsidRDefault="0084271A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  <w:bookmarkStart w:id="0" w:name="_Hlk106278092"/>
          </w:p>
        </w:tc>
        <w:tc>
          <w:tcPr>
            <w:tcW w:w="9021" w:type="dxa"/>
          </w:tcPr>
          <w:p w14:paraId="163D14A3" w14:textId="769B3DAD" w:rsidR="0084271A" w:rsidRDefault="00BB732A" w:rsidP="00E83136">
            <w:r>
              <w:t xml:space="preserve">To recommend a Group Development Strategy, </w:t>
            </w:r>
            <w:r w:rsidR="004B5875">
              <w:t xml:space="preserve">and </w:t>
            </w:r>
            <w:r w:rsidR="00F33D5F">
              <w:t>a</w:t>
            </w:r>
            <w:r w:rsidR="004B5875">
              <w:t xml:space="preserve"> </w:t>
            </w:r>
            <w:r>
              <w:t>Group Asset Management Strategy to the Board</w:t>
            </w:r>
            <w:r w:rsidR="0053147B">
              <w:t xml:space="preserve"> and monitor performance against Strategic targets.</w:t>
            </w:r>
          </w:p>
        </w:tc>
      </w:tr>
      <w:tr w:rsidR="0053147B" w:rsidRPr="00BC072E" w14:paraId="49D8F85F" w14:textId="77777777" w:rsidTr="005A180B">
        <w:tc>
          <w:tcPr>
            <w:tcW w:w="567" w:type="dxa"/>
          </w:tcPr>
          <w:p w14:paraId="20956EB2" w14:textId="5E391BAC" w:rsidR="0053147B" w:rsidRPr="00454B7A" w:rsidDel="0053147B" w:rsidRDefault="0053147B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414450AC" w14:textId="39100644" w:rsidR="0053147B" w:rsidRDefault="0053147B" w:rsidP="00E83136">
            <w:r>
              <w:t>To monitor delivery of the following programmes</w:t>
            </w:r>
            <w:r w:rsidR="000E3161">
              <w:t xml:space="preserve"> and services</w:t>
            </w:r>
            <w:r>
              <w:t xml:space="preserve"> including expenditure against agreed budget:</w:t>
            </w:r>
          </w:p>
          <w:p w14:paraId="59AE798D" w14:textId="77777777" w:rsidR="0053147B" w:rsidRDefault="0053147B" w:rsidP="00454B7A">
            <w:pPr>
              <w:pStyle w:val="ListParagraph"/>
              <w:numPr>
                <w:ilvl w:val="0"/>
                <w:numId w:val="31"/>
              </w:numPr>
            </w:pPr>
            <w:r>
              <w:t>Development programme</w:t>
            </w:r>
          </w:p>
          <w:p w14:paraId="2DFA52CD" w14:textId="77777777" w:rsidR="0053147B" w:rsidRDefault="0053147B" w:rsidP="00454B7A">
            <w:pPr>
              <w:pStyle w:val="ListParagraph"/>
              <w:numPr>
                <w:ilvl w:val="0"/>
                <w:numId w:val="31"/>
              </w:numPr>
            </w:pPr>
            <w:r>
              <w:t>Planned Maintenance Programme</w:t>
            </w:r>
          </w:p>
          <w:p w14:paraId="6BD7942C" w14:textId="66412AC2" w:rsidR="000E3161" w:rsidRDefault="000E3161" w:rsidP="00454B7A">
            <w:pPr>
              <w:pStyle w:val="ListParagraph"/>
              <w:numPr>
                <w:ilvl w:val="0"/>
                <w:numId w:val="31"/>
              </w:numPr>
            </w:pPr>
            <w:r>
              <w:t>Responsive Repairs and Maintenance Programme</w:t>
            </w:r>
          </w:p>
          <w:p w14:paraId="1FC4540B" w14:textId="0031D0DA" w:rsidR="000E3161" w:rsidDel="0053147B" w:rsidRDefault="000E3161" w:rsidP="00454B7A">
            <w:pPr>
              <w:pStyle w:val="ListParagraph"/>
              <w:numPr>
                <w:ilvl w:val="0"/>
                <w:numId w:val="31"/>
              </w:numPr>
            </w:pPr>
            <w:r>
              <w:t>Cyclical Decorations Programme</w:t>
            </w:r>
          </w:p>
        </w:tc>
      </w:tr>
      <w:tr w:rsidR="0019417A" w:rsidRPr="00BC072E" w14:paraId="56A706C7" w14:textId="77777777" w:rsidTr="005A180B">
        <w:tc>
          <w:tcPr>
            <w:tcW w:w="567" w:type="dxa"/>
          </w:tcPr>
          <w:p w14:paraId="05270ED1" w14:textId="77777777" w:rsidR="0019417A" w:rsidRPr="00454B7A" w:rsidDel="0053147B" w:rsidRDefault="0019417A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467020CC" w14:textId="595F427F" w:rsidR="0019417A" w:rsidRDefault="002906F4" w:rsidP="00E83136">
            <w:r>
              <w:t xml:space="preserve">To provide assurance to the Board that development commitments and </w:t>
            </w:r>
            <w:r w:rsidR="00452765">
              <w:t xml:space="preserve">asset </w:t>
            </w:r>
            <w:r>
              <w:t>investments are appropriately reflected in budgets, business plans and cashflow projections.</w:t>
            </w:r>
          </w:p>
        </w:tc>
      </w:tr>
      <w:tr w:rsidR="0019417A" w:rsidRPr="00BC072E" w14:paraId="29BF1D68" w14:textId="77777777" w:rsidTr="005A180B">
        <w:tc>
          <w:tcPr>
            <w:tcW w:w="567" w:type="dxa"/>
          </w:tcPr>
          <w:p w14:paraId="6E09A640" w14:textId="7C02BC31" w:rsidR="0019417A" w:rsidRPr="00454B7A" w:rsidRDefault="0019417A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033BD74B" w14:textId="11473092" w:rsidR="0019417A" w:rsidRDefault="0019417A" w:rsidP="008D241F">
            <w:r>
              <w:t xml:space="preserve">To monitor development appraisal </w:t>
            </w:r>
            <w:r w:rsidR="00671977">
              <w:t>assumptions</w:t>
            </w:r>
            <w:r>
              <w:t xml:space="preserve"> including hurdle rates and to recommend changes to the Board.</w:t>
            </w:r>
          </w:p>
        </w:tc>
      </w:tr>
      <w:tr w:rsidR="00512BB2" w:rsidRPr="00BC072E" w14:paraId="4FEB9210" w14:textId="77777777" w:rsidTr="005A180B">
        <w:tc>
          <w:tcPr>
            <w:tcW w:w="567" w:type="dxa"/>
          </w:tcPr>
          <w:p w14:paraId="402581FD" w14:textId="77777777" w:rsidR="00512BB2" w:rsidRPr="00454B7A" w:rsidRDefault="00512BB2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79F89150" w14:textId="455AF287" w:rsidR="00512BB2" w:rsidRDefault="00512BB2" w:rsidP="008D241F">
            <w:r>
              <w:t>To monitor the development pipeline and opportunities against the agreed development targets.</w:t>
            </w:r>
          </w:p>
        </w:tc>
      </w:tr>
      <w:tr w:rsidR="0019417A" w:rsidRPr="00BC072E" w14:paraId="27476EFB" w14:textId="77777777" w:rsidTr="005A180B">
        <w:tc>
          <w:tcPr>
            <w:tcW w:w="567" w:type="dxa"/>
          </w:tcPr>
          <w:p w14:paraId="2F43743D" w14:textId="77777777" w:rsidR="0019417A" w:rsidRPr="00454B7A" w:rsidRDefault="0019417A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49CF0D8B" w14:textId="6DF5B799" w:rsidR="0019417A" w:rsidRPr="00DF26DC" w:rsidRDefault="0019417A" w:rsidP="008D241F">
            <w:pPr>
              <w:rPr>
                <w:szCs w:val="22"/>
              </w:rPr>
            </w:pPr>
            <w:r>
              <w:t xml:space="preserve">To consider capital investment projects </w:t>
            </w:r>
            <w:r w:rsidR="00F95A6F">
              <w:t xml:space="preserve">including site acquisitions </w:t>
            </w:r>
            <w:r>
              <w:t xml:space="preserve">and make recommendations to the Board, or give approval, as determined by the limits set out </w:t>
            </w:r>
            <w:r w:rsidR="00454B7A">
              <w:t>withi</w:t>
            </w:r>
            <w:r>
              <w:t xml:space="preserve">n </w:t>
            </w:r>
            <w:r w:rsidR="00454B7A">
              <w:t xml:space="preserve">the agreed scheme of </w:t>
            </w:r>
            <w:r>
              <w:t>delegated authority.</w:t>
            </w:r>
          </w:p>
        </w:tc>
      </w:tr>
      <w:tr w:rsidR="00F95A6F" w:rsidRPr="00BC072E" w14:paraId="628D4D43" w14:textId="77777777" w:rsidTr="005A180B">
        <w:tc>
          <w:tcPr>
            <w:tcW w:w="567" w:type="dxa"/>
          </w:tcPr>
          <w:p w14:paraId="6182B72A" w14:textId="77777777" w:rsidR="00F95A6F" w:rsidRPr="00454B7A" w:rsidRDefault="00F95A6F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6EB9A21E" w14:textId="10F2756D" w:rsidR="00F95A6F" w:rsidRDefault="00F95A6F" w:rsidP="008D241F">
            <w:r>
              <w:t>To consider stock disposal proposals and make recommendations to the Board, or give approval, as determined by the limits set out within the agreed scheme of delegated authority.</w:t>
            </w:r>
          </w:p>
        </w:tc>
      </w:tr>
      <w:tr w:rsidR="0019417A" w:rsidRPr="00BC072E" w14:paraId="0713BD3E" w14:textId="77777777" w:rsidTr="005A180B">
        <w:tc>
          <w:tcPr>
            <w:tcW w:w="567" w:type="dxa"/>
          </w:tcPr>
          <w:p w14:paraId="0B4917BC" w14:textId="77777777" w:rsidR="0019417A" w:rsidRPr="00454B7A" w:rsidRDefault="0019417A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0E20456A" w14:textId="77777777" w:rsidR="0019417A" w:rsidRDefault="0019417A" w:rsidP="008D241F">
            <w:pPr>
              <w:jc w:val="both"/>
            </w:pPr>
            <w:r>
              <w:t>To undertake its obligations as set out in the Habinteg Group’s Development Procedures.</w:t>
            </w:r>
          </w:p>
        </w:tc>
      </w:tr>
      <w:tr w:rsidR="00671977" w:rsidRPr="00BC072E" w14:paraId="683C5907" w14:textId="77777777" w:rsidTr="005A180B">
        <w:tc>
          <w:tcPr>
            <w:tcW w:w="567" w:type="dxa"/>
          </w:tcPr>
          <w:p w14:paraId="1F9B3C3E" w14:textId="77777777" w:rsidR="00671977" w:rsidRPr="00454B7A" w:rsidRDefault="00671977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2162D970" w14:textId="4721613F" w:rsidR="00671977" w:rsidRDefault="00671977" w:rsidP="008D241F">
            <w:r>
              <w:t xml:space="preserve">To </w:t>
            </w:r>
            <w:r w:rsidR="00E17F0D">
              <w:t>seek assurance on the</w:t>
            </w:r>
            <w:r>
              <w:t xml:space="preserve"> effectiveness</w:t>
            </w:r>
            <w:r w:rsidR="00713908">
              <w:t xml:space="preserve"> of</w:t>
            </w:r>
            <w:r>
              <w:t xml:space="preserve"> procurement, contract and contractor management </w:t>
            </w:r>
            <w:r w:rsidR="00E17F0D">
              <w:t xml:space="preserve">arrangements </w:t>
            </w:r>
            <w:r>
              <w:t>with respect to</w:t>
            </w:r>
            <w:r w:rsidR="00E17F0D">
              <w:t xml:space="preserve"> development and</w:t>
            </w:r>
            <w:r>
              <w:t xml:space="preserve"> </w:t>
            </w:r>
            <w:r w:rsidR="00E17F0D">
              <w:t>a</w:t>
            </w:r>
            <w:r>
              <w:t xml:space="preserve">sset </w:t>
            </w:r>
            <w:r w:rsidR="00E17F0D">
              <w:t>m</w:t>
            </w:r>
            <w:r>
              <w:t>anagement.</w:t>
            </w:r>
          </w:p>
        </w:tc>
      </w:tr>
      <w:tr w:rsidR="0019417A" w:rsidRPr="00BC072E" w14:paraId="332C10FB" w14:textId="77777777" w:rsidTr="005A180B">
        <w:tc>
          <w:tcPr>
            <w:tcW w:w="567" w:type="dxa"/>
          </w:tcPr>
          <w:p w14:paraId="78D6A676" w14:textId="77777777" w:rsidR="0019417A" w:rsidRPr="00454B7A" w:rsidRDefault="0019417A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5DBCE863" w14:textId="77777777" w:rsidR="0019417A" w:rsidRPr="00DF26DC" w:rsidRDefault="0019417A" w:rsidP="008D241F">
            <w:pPr>
              <w:rPr>
                <w:szCs w:val="22"/>
              </w:rPr>
            </w:pPr>
            <w:r>
              <w:t>To approve policy and procedures in accordance with its remit, subject to matters reserved to the Board.</w:t>
            </w:r>
          </w:p>
        </w:tc>
      </w:tr>
      <w:tr w:rsidR="0019417A" w:rsidRPr="00BC072E" w14:paraId="6A9546C0" w14:textId="77777777" w:rsidTr="005A180B">
        <w:tc>
          <w:tcPr>
            <w:tcW w:w="567" w:type="dxa"/>
          </w:tcPr>
          <w:p w14:paraId="3C94400E" w14:textId="77777777" w:rsidR="0019417A" w:rsidRPr="00454B7A" w:rsidRDefault="0019417A" w:rsidP="00454B7A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szCs w:val="22"/>
              </w:rPr>
            </w:pPr>
          </w:p>
        </w:tc>
        <w:tc>
          <w:tcPr>
            <w:tcW w:w="9021" w:type="dxa"/>
          </w:tcPr>
          <w:p w14:paraId="1E6A2EE2" w14:textId="70DF7E66" w:rsidR="0019417A" w:rsidRPr="00DF26DC" w:rsidRDefault="0019417A" w:rsidP="008D241F">
            <w:pPr>
              <w:rPr>
                <w:szCs w:val="22"/>
              </w:rPr>
            </w:pPr>
            <w:r w:rsidRPr="00DF26DC">
              <w:rPr>
                <w:szCs w:val="22"/>
              </w:rPr>
              <w:t xml:space="preserve">To monitor </w:t>
            </w:r>
            <w:r>
              <w:rPr>
                <w:szCs w:val="22"/>
              </w:rPr>
              <w:t xml:space="preserve">relevant </w:t>
            </w:r>
            <w:r w:rsidRPr="00DF26DC">
              <w:rPr>
                <w:szCs w:val="22"/>
              </w:rPr>
              <w:t xml:space="preserve">risks relating to </w:t>
            </w:r>
            <w:r>
              <w:rPr>
                <w:szCs w:val="22"/>
              </w:rPr>
              <w:t>Capital Investment, Development Programmes</w:t>
            </w:r>
            <w:r w:rsidRPr="00DF26DC">
              <w:rPr>
                <w:szCs w:val="22"/>
              </w:rPr>
              <w:t xml:space="preserve"> and </w:t>
            </w:r>
            <w:r>
              <w:rPr>
                <w:szCs w:val="22"/>
              </w:rPr>
              <w:t>Asset Management and consider</w:t>
            </w:r>
            <w:r w:rsidRPr="00DF26DC">
              <w:rPr>
                <w:szCs w:val="22"/>
              </w:rPr>
              <w:t xml:space="preserve"> any new, emerging risks</w:t>
            </w:r>
            <w:r>
              <w:rPr>
                <w:szCs w:val="22"/>
              </w:rPr>
              <w:t>.</w:t>
            </w:r>
          </w:p>
        </w:tc>
      </w:tr>
      <w:tr w:rsidR="0019417A" w:rsidRPr="00BC072E" w14:paraId="55B7CF69" w14:textId="77777777" w:rsidTr="005A180B">
        <w:tc>
          <w:tcPr>
            <w:tcW w:w="567" w:type="dxa"/>
          </w:tcPr>
          <w:p w14:paraId="7BC82BDB" w14:textId="736581F0" w:rsidR="0019417A" w:rsidRPr="005A180B" w:rsidRDefault="005A180B" w:rsidP="005A180B">
            <w:pPr>
              <w:rPr>
                <w:szCs w:val="22"/>
              </w:rPr>
            </w:pPr>
            <w:r>
              <w:rPr>
                <w:szCs w:val="22"/>
              </w:rPr>
              <w:t>l.</w:t>
            </w:r>
          </w:p>
        </w:tc>
        <w:tc>
          <w:tcPr>
            <w:tcW w:w="9021" w:type="dxa"/>
          </w:tcPr>
          <w:p w14:paraId="49477748" w14:textId="77777777" w:rsidR="0019417A" w:rsidRPr="00DF26DC" w:rsidRDefault="0019417A" w:rsidP="008D241F">
            <w:pPr>
              <w:rPr>
                <w:szCs w:val="22"/>
              </w:rPr>
            </w:pPr>
            <w:r>
              <w:rPr>
                <w:szCs w:val="22"/>
              </w:rPr>
              <w:t>To carry out all duties with due regard to VFM principles and to consider opportunities for efficiencies.</w:t>
            </w:r>
          </w:p>
        </w:tc>
      </w:tr>
      <w:bookmarkEnd w:id="0"/>
      <w:tr w:rsidR="00F17F96" w:rsidRPr="00BC072E" w14:paraId="28EC3C33" w14:textId="77777777" w:rsidTr="00454B7A">
        <w:tc>
          <w:tcPr>
            <w:tcW w:w="9588" w:type="dxa"/>
            <w:gridSpan w:val="2"/>
            <w:shd w:val="clear" w:color="auto" w:fill="D9D9D9" w:themeFill="background1" w:themeFillShade="D9"/>
          </w:tcPr>
          <w:p w14:paraId="768D61C2" w14:textId="04CB1813" w:rsidR="00F17F96" w:rsidRPr="00FB0F03" w:rsidRDefault="0019417A" w:rsidP="00DF26D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Governance &amp; </w:t>
            </w:r>
            <w:r w:rsidR="00F17F96">
              <w:rPr>
                <w:b/>
                <w:szCs w:val="22"/>
              </w:rPr>
              <w:t>Reporting</w:t>
            </w:r>
          </w:p>
        </w:tc>
      </w:tr>
      <w:tr w:rsidR="00046BB5" w14:paraId="2A39AF2C" w14:textId="77777777" w:rsidTr="005A180B">
        <w:tc>
          <w:tcPr>
            <w:tcW w:w="567" w:type="dxa"/>
            <w:hideMark/>
          </w:tcPr>
          <w:p w14:paraId="09CE3996" w14:textId="77777777" w:rsidR="00046BB5" w:rsidRDefault="00046BB5" w:rsidP="009E0683">
            <w:pPr>
              <w:rPr>
                <w:szCs w:val="22"/>
              </w:rPr>
            </w:pPr>
            <w:r>
              <w:t>a.</w:t>
            </w:r>
          </w:p>
        </w:tc>
        <w:tc>
          <w:tcPr>
            <w:tcW w:w="9021" w:type="dxa"/>
            <w:hideMark/>
          </w:tcPr>
          <w:p w14:paraId="4783E6CA" w14:textId="77777777" w:rsidR="00046BB5" w:rsidRDefault="00046BB5" w:rsidP="009E0683">
            <w:r>
              <w:t>To make available the minutes of all meetings to the Board. The Chair will highlight material matters from the minutes at the Board meeting.</w:t>
            </w:r>
          </w:p>
        </w:tc>
      </w:tr>
      <w:tr w:rsidR="00046BB5" w14:paraId="005D4AFE" w14:textId="77777777" w:rsidTr="005A180B">
        <w:tc>
          <w:tcPr>
            <w:tcW w:w="567" w:type="dxa"/>
            <w:hideMark/>
          </w:tcPr>
          <w:p w14:paraId="0201F205" w14:textId="77777777" w:rsidR="00046BB5" w:rsidRDefault="00046BB5" w:rsidP="009E0683">
            <w:r>
              <w:t>b.</w:t>
            </w:r>
          </w:p>
        </w:tc>
        <w:tc>
          <w:tcPr>
            <w:tcW w:w="9021" w:type="dxa"/>
            <w:hideMark/>
          </w:tcPr>
          <w:p w14:paraId="1FAE64CA" w14:textId="7001A6EC" w:rsidR="00046BB5" w:rsidRDefault="0019417A" w:rsidP="009E0683">
            <w:r>
              <w:t>To annually review i</w:t>
            </w:r>
            <w:r w:rsidR="00671977">
              <w:t>t</w:t>
            </w:r>
            <w:r>
              <w:t xml:space="preserve">s effectiveness and Terms of Reference and to report on such to the Board. </w:t>
            </w:r>
          </w:p>
        </w:tc>
      </w:tr>
    </w:tbl>
    <w:p w14:paraId="16129FD5" w14:textId="77777777" w:rsidR="00F7045C" w:rsidRDefault="00F7045C" w:rsidP="00043BBE">
      <w:pPr>
        <w:spacing w:line="240" w:lineRule="auto"/>
      </w:pPr>
    </w:p>
    <w:p w14:paraId="638A72A3" w14:textId="77777777" w:rsidR="00107F4B" w:rsidRDefault="00107F4B" w:rsidP="00043BBE">
      <w:pPr>
        <w:spacing w:line="240" w:lineRule="auto"/>
      </w:pPr>
    </w:p>
    <w:sectPr w:rsidR="00107F4B" w:rsidSect="00086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62A8" w14:textId="77777777" w:rsidR="00F33D5F" w:rsidRDefault="00F33D5F" w:rsidP="00933554">
      <w:pPr>
        <w:spacing w:line="240" w:lineRule="auto"/>
      </w:pPr>
      <w:r>
        <w:separator/>
      </w:r>
    </w:p>
  </w:endnote>
  <w:endnote w:type="continuationSeparator" w:id="0">
    <w:p w14:paraId="10ED3016" w14:textId="77777777" w:rsidR="00F33D5F" w:rsidRDefault="00F33D5F" w:rsidP="00933554">
      <w:pPr>
        <w:spacing w:line="240" w:lineRule="auto"/>
      </w:pPr>
      <w:r>
        <w:continuationSeparator/>
      </w:r>
    </w:p>
  </w:endnote>
  <w:endnote w:type="continuationNotice" w:id="1">
    <w:p w14:paraId="48669599" w14:textId="77777777" w:rsidR="00F33D5F" w:rsidRDefault="00F33D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3739" w14:textId="77777777" w:rsidR="00086856" w:rsidRDefault="00086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3348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373E80" w14:textId="77777777" w:rsidR="0047377E" w:rsidRDefault="0047377E" w:rsidP="00043BBE">
            <w:pPr>
              <w:pStyle w:val="Footer"/>
              <w:tabs>
                <w:tab w:val="left" w:pos="645"/>
              </w:tabs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47377E" w14:paraId="6F599B80" w14:textId="77777777" w:rsidTr="0047377E">
              <w:tc>
                <w:tcPr>
                  <w:tcW w:w="1838" w:type="dxa"/>
                </w:tcPr>
                <w:p w14:paraId="6E911716" w14:textId="23BBC524" w:rsidR="0047377E" w:rsidRDefault="0047377E" w:rsidP="00043BBE">
                  <w:pPr>
                    <w:pStyle w:val="Footer"/>
                    <w:tabs>
                      <w:tab w:val="left" w:pos="645"/>
                    </w:tabs>
                  </w:pPr>
                  <w:r>
                    <w:t xml:space="preserve">Version </w:t>
                  </w:r>
                  <w:r w:rsidR="0053147B">
                    <w:t>2</w:t>
                  </w:r>
                </w:p>
              </w:tc>
              <w:tc>
                <w:tcPr>
                  <w:tcW w:w="5670" w:type="dxa"/>
                </w:tcPr>
                <w:p w14:paraId="4F2F9450" w14:textId="7586BA8F" w:rsidR="0047377E" w:rsidRDefault="0047377E" w:rsidP="00043BBE">
                  <w:pPr>
                    <w:pStyle w:val="Footer"/>
                    <w:tabs>
                      <w:tab w:val="left" w:pos="645"/>
                    </w:tabs>
                  </w:pPr>
                  <w:r>
                    <w:t xml:space="preserve">Approved by Board </w:t>
                  </w:r>
                  <w:r w:rsidR="0053147B">
                    <w:t>21 November 2023</w:t>
                  </w:r>
                </w:p>
              </w:tc>
            </w:tr>
            <w:tr w:rsidR="0047377E" w14:paraId="1EBEFB7A" w14:textId="77777777" w:rsidTr="0047377E">
              <w:tc>
                <w:tcPr>
                  <w:tcW w:w="1838" w:type="dxa"/>
                </w:tcPr>
                <w:p w14:paraId="5BAF608E" w14:textId="4CB000E6" w:rsidR="0047377E" w:rsidRDefault="0047377E" w:rsidP="00043BBE">
                  <w:pPr>
                    <w:pStyle w:val="Footer"/>
                    <w:tabs>
                      <w:tab w:val="left" w:pos="645"/>
                    </w:tabs>
                  </w:pPr>
                  <w:r>
                    <w:t xml:space="preserve">Draft Version </w:t>
                  </w:r>
                  <w:r w:rsidR="0053147B">
                    <w:t>3</w:t>
                  </w:r>
                </w:p>
              </w:tc>
              <w:tc>
                <w:tcPr>
                  <w:tcW w:w="5670" w:type="dxa"/>
                </w:tcPr>
                <w:p w14:paraId="72180684" w14:textId="2AFD7946" w:rsidR="0047377E" w:rsidRDefault="0047377E" w:rsidP="00043BBE">
                  <w:pPr>
                    <w:pStyle w:val="Footer"/>
                    <w:tabs>
                      <w:tab w:val="left" w:pos="645"/>
                    </w:tabs>
                  </w:pPr>
                  <w:r>
                    <w:t xml:space="preserve">Review by IC on </w:t>
                  </w:r>
                  <w:r w:rsidR="0053147B">
                    <w:t>3</w:t>
                  </w:r>
                  <w:r>
                    <w:t xml:space="preserve"> October 202</w:t>
                  </w:r>
                  <w:r w:rsidR="0053147B">
                    <w:t>4</w:t>
                  </w:r>
                </w:p>
              </w:tc>
            </w:tr>
            <w:tr w:rsidR="0047377E" w14:paraId="29E65C90" w14:textId="77777777" w:rsidTr="0047377E">
              <w:tc>
                <w:tcPr>
                  <w:tcW w:w="1838" w:type="dxa"/>
                </w:tcPr>
                <w:p w14:paraId="1FC2452C" w14:textId="59224047" w:rsidR="0047377E" w:rsidRDefault="0047377E" w:rsidP="00043BBE">
                  <w:pPr>
                    <w:pStyle w:val="Footer"/>
                    <w:tabs>
                      <w:tab w:val="left" w:pos="645"/>
                    </w:tabs>
                  </w:pPr>
                  <w:r>
                    <w:t xml:space="preserve">Version </w:t>
                  </w:r>
                  <w:r w:rsidR="0053147B">
                    <w:t>3</w:t>
                  </w:r>
                </w:p>
              </w:tc>
              <w:tc>
                <w:tcPr>
                  <w:tcW w:w="5670" w:type="dxa"/>
                </w:tcPr>
                <w:p w14:paraId="7AE47841" w14:textId="2EA1657B" w:rsidR="0047377E" w:rsidRDefault="0047377E" w:rsidP="00043BBE">
                  <w:pPr>
                    <w:pStyle w:val="Footer"/>
                    <w:tabs>
                      <w:tab w:val="left" w:pos="645"/>
                    </w:tabs>
                  </w:pPr>
                  <w:r>
                    <w:t xml:space="preserve">Approved by Board on </w:t>
                  </w:r>
                  <w:r w:rsidR="005A180B">
                    <w:t xml:space="preserve">21 January 2025 </w:t>
                  </w:r>
                </w:p>
              </w:tc>
            </w:tr>
          </w:tbl>
          <w:p w14:paraId="03446F94" w14:textId="0C941005" w:rsidR="00C61919" w:rsidRDefault="00C61919" w:rsidP="00043BBE">
            <w:pPr>
              <w:pStyle w:val="Footer"/>
              <w:tabs>
                <w:tab w:val="left" w:pos="645"/>
              </w:tabs>
            </w:pPr>
          </w:p>
          <w:p w14:paraId="0B4EE648" w14:textId="00A9B67D" w:rsidR="00933554" w:rsidRDefault="00C150FE" w:rsidP="00043BBE">
            <w:pPr>
              <w:pStyle w:val="Footer"/>
              <w:tabs>
                <w:tab w:val="left" w:pos="645"/>
              </w:tabs>
            </w:pPr>
            <w:r>
              <w:tab/>
            </w:r>
            <w:r>
              <w:tab/>
            </w:r>
          </w:p>
        </w:sdtContent>
      </w:sdt>
    </w:sdtContent>
  </w:sdt>
  <w:p w14:paraId="6CE4FDB1" w14:textId="77777777" w:rsidR="00933554" w:rsidRDefault="00547460" w:rsidP="00547460">
    <w:pPr>
      <w:pStyle w:val="Footer"/>
      <w:tabs>
        <w:tab w:val="clear" w:pos="4513"/>
        <w:tab w:val="clear" w:pos="9026"/>
        <w:tab w:val="left" w:pos="13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3603523"/>
      <w:docPartObj>
        <w:docPartGallery w:val="Page Numbers (Bottom of Page)"/>
        <w:docPartUnique/>
      </w:docPartObj>
    </w:sdtPr>
    <w:sdtEndPr/>
    <w:sdtContent>
      <w:sdt>
        <w:sdtPr>
          <w:id w:val="1156803290"/>
          <w:docPartObj>
            <w:docPartGallery w:val="Page Numbers (Top of Page)"/>
            <w:docPartUnique/>
          </w:docPartObj>
        </w:sdtPr>
        <w:sdtEndPr/>
        <w:sdtContent>
          <w:p w14:paraId="51C21562" w14:textId="77777777" w:rsidR="002743C8" w:rsidRDefault="002743C8" w:rsidP="0065387D">
            <w:pPr>
              <w:pStyle w:val="Footer"/>
              <w:tabs>
                <w:tab w:val="clear" w:pos="9026"/>
                <w:tab w:val="right" w:pos="9639"/>
              </w:tabs>
              <w:ind w:right="-613"/>
              <w:jc w:val="right"/>
            </w:pPr>
            <w:r w:rsidRPr="0065387D">
              <w:rPr>
                <w:sz w:val="20"/>
              </w:rPr>
              <w:t xml:space="preserve">Page </w:t>
            </w:r>
            <w:r w:rsidRPr="0065387D">
              <w:rPr>
                <w:b/>
                <w:bCs/>
                <w:sz w:val="20"/>
              </w:rPr>
              <w:fldChar w:fldCharType="begin"/>
            </w:r>
            <w:r w:rsidRPr="0065387D">
              <w:rPr>
                <w:b/>
                <w:bCs/>
                <w:sz w:val="20"/>
              </w:rPr>
              <w:instrText xml:space="preserve"> PAGE </w:instrText>
            </w:r>
            <w:r w:rsidRPr="0065387D">
              <w:rPr>
                <w:b/>
                <w:bCs/>
                <w:sz w:val="20"/>
              </w:rPr>
              <w:fldChar w:fldCharType="separate"/>
            </w:r>
            <w:r w:rsidR="00C61919">
              <w:rPr>
                <w:b/>
                <w:bCs/>
                <w:noProof/>
                <w:sz w:val="20"/>
              </w:rPr>
              <w:t>1</w:t>
            </w:r>
            <w:r w:rsidRPr="0065387D">
              <w:rPr>
                <w:b/>
                <w:bCs/>
                <w:sz w:val="20"/>
              </w:rPr>
              <w:fldChar w:fldCharType="end"/>
            </w:r>
            <w:r w:rsidRPr="0065387D">
              <w:rPr>
                <w:sz w:val="20"/>
              </w:rPr>
              <w:t xml:space="preserve"> of </w:t>
            </w:r>
            <w:r w:rsidRPr="0065387D">
              <w:rPr>
                <w:b/>
                <w:bCs/>
                <w:sz w:val="20"/>
              </w:rPr>
              <w:fldChar w:fldCharType="begin"/>
            </w:r>
            <w:r w:rsidRPr="0065387D">
              <w:rPr>
                <w:b/>
                <w:bCs/>
                <w:sz w:val="20"/>
              </w:rPr>
              <w:instrText xml:space="preserve"> NUMPAGES  </w:instrText>
            </w:r>
            <w:r w:rsidRPr="0065387D">
              <w:rPr>
                <w:b/>
                <w:bCs/>
                <w:sz w:val="20"/>
              </w:rPr>
              <w:fldChar w:fldCharType="separate"/>
            </w:r>
            <w:r w:rsidR="00C61919">
              <w:rPr>
                <w:b/>
                <w:bCs/>
                <w:noProof/>
                <w:sz w:val="20"/>
              </w:rPr>
              <w:t>3</w:t>
            </w:r>
            <w:r w:rsidRPr="0065387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DBB2E57" w14:textId="77777777" w:rsidR="00D86C15" w:rsidRDefault="00D86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10F2" w14:textId="77777777" w:rsidR="00F33D5F" w:rsidRDefault="00F33D5F" w:rsidP="00933554">
      <w:pPr>
        <w:spacing w:line="240" w:lineRule="auto"/>
      </w:pPr>
      <w:r>
        <w:separator/>
      </w:r>
    </w:p>
  </w:footnote>
  <w:footnote w:type="continuationSeparator" w:id="0">
    <w:p w14:paraId="65B12ED6" w14:textId="77777777" w:rsidR="00F33D5F" w:rsidRDefault="00F33D5F" w:rsidP="00933554">
      <w:pPr>
        <w:spacing w:line="240" w:lineRule="auto"/>
      </w:pPr>
      <w:r>
        <w:continuationSeparator/>
      </w:r>
    </w:p>
  </w:footnote>
  <w:footnote w:type="continuationNotice" w:id="1">
    <w:p w14:paraId="421FD65D" w14:textId="77777777" w:rsidR="00F33D5F" w:rsidRDefault="00F33D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53B9" w14:textId="77777777" w:rsidR="00086856" w:rsidRDefault="00086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D1A1" w14:textId="77777777" w:rsidR="00C61919" w:rsidRDefault="00C61919">
    <w:pPr>
      <w:pStyle w:val="Header"/>
      <w:jc w:val="right"/>
    </w:pPr>
  </w:p>
  <w:p w14:paraId="70E2E78D" w14:textId="2ECB849E" w:rsidR="00933554" w:rsidRDefault="00C61919" w:rsidP="00C61919">
    <w:pPr>
      <w:pStyle w:val="Header"/>
      <w:tabs>
        <w:tab w:val="clear" w:pos="4513"/>
        <w:tab w:val="clear" w:pos="9026"/>
        <w:tab w:val="left" w:pos="36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5968" w14:textId="77777777" w:rsidR="00E54AE4" w:rsidRDefault="00E54AE4">
    <w:pPr>
      <w:pStyle w:val="Header"/>
    </w:pPr>
    <w:r>
      <w:rPr>
        <w:noProof/>
        <w:lang w:eastAsia="en-GB"/>
      </w:rPr>
      <w:drawing>
        <wp:inline distT="0" distB="0" distL="0" distR="0" wp14:anchorId="5226D157" wp14:editId="3639E294">
          <wp:extent cx="2341245" cy="643199"/>
          <wp:effectExtent l="0" t="0" r="190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43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D0C00D" w14:textId="77777777" w:rsidR="002743C8" w:rsidRDefault="002743C8" w:rsidP="002743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291A"/>
    <w:multiLevelType w:val="hybridMultilevel"/>
    <w:tmpl w:val="2746E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072"/>
    <w:multiLevelType w:val="hybridMultilevel"/>
    <w:tmpl w:val="10D6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67E"/>
    <w:multiLevelType w:val="hybridMultilevel"/>
    <w:tmpl w:val="90B2678E"/>
    <w:lvl w:ilvl="0" w:tplc="658417CA">
      <w:start w:val="1"/>
      <w:numFmt w:val="decimal"/>
      <w:pStyle w:val="Numberlists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163EA"/>
    <w:multiLevelType w:val="hybridMultilevel"/>
    <w:tmpl w:val="A094DA5E"/>
    <w:lvl w:ilvl="0" w:tplc="08090019">
      <w:start w:val="1"/>
      <w:numFmt w:val="lowerLetter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5EF6"/>
    <w:multiLevelType w:val="multilevel"/>
    <w:tmpl w:val="9F422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2E5CBB"/>
    <w:multiLevelType w:val="hybridMultilevel"/>
    <w:tmpl w:val="8382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379F"/>
    <w:multiLevelType w:val="multilevel"/>
    <w:tmpl w:val="0809001D"/>
    <w:numStyleLink w:val="Number"/>
  </w:abstractNum>
  <w:abstractNum w:abstractNumId="7" w15:restartNumberingAfterBreak="0">
    <w:nsid w:val="18B506E1"/>
    <w:multiLevelType w:val="multilevel"/>
    <w:tmpl w:val="0809001D"/>
    <w:styleLink w:val="Number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486BCF"/>
    <w:multiLevelType w:val="hybridMultilevel"/>
    <w:tmpl w:val="2510337A"/>
    <w:lvl w:ilvl="0" w:tplc="02A61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B78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957963"/>
    <w:multiLevelType w:val="hybridMultilevel"/>
    <w:tmpl w:val="8F3ED5E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A55E8"/>
    <w:multiLevelType w:val="hybridMultilevel"/>
    <w:tmpl w:val="B4C8E2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F2578"/>
    <w:multiLevelType w:val="hybridMultilevel"/>
    <w:tmpl w:val="95402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B71"/>
    <w:multiLevelType w:val="multilevel"/>
    <w:tmpl w:val="D398015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ACF6994"/>
    <w:multiLevelType w:val="hybridMultilevel"/>
    <w:tmpl w:val="1B70EEC2"/>
    <w:lvl w:ilvl="0" w:tplc="D30E5E34">
      <w:start w:val="1"/>
      <w:numFmt w:val="bullet"/>
      <w:pStyle w:val="SubListParagrah"/>
      <w:lvlText w:val=""/>
      <w:lvlJc w:val="left"/>
      <w:pPr>
        <w:ind w:left="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5" w15:restartNumberingAfterBreak="0">
    <w:nsid w:val="48827641"/>
    <w:multiLevelType w:val="multilevel"/>
    <w:tmpl w:val="D90ADB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E6E0561"/>
    <w:multiLevelType w:val="multilevel"/>
    <w:tmpl w:val="EF8686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593917FE"/>
    <w:multiLevelType w:val="hybridMultilevel"/>
    <w:tmpl w:val="31B0AA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93BDD"/>
    <w:multiLevelType w:val="hybridMultilevel"/>
    <w:tmpl w:val="0512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4A3F"/>
    <w:multiLevelType w:val="hybridMultilevel"/>
    <w:tmpl w:val="09F8B7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51077"/>
    <w:multiLevelType w:val="hybridMultilevel"/>
    <w:tmpl w:val="A8E25D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21BF"/>
    <w:multiLevelType w:val="hybridMultilevel"/>
    <w:tmpl w:val="B5BECD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93429"/>
    <w:multiLevelType w:val="multilevel"/>
    <w:tmpl w:val="8BEEA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CE7066"/>
    <w:multiLevelType w:val="multilevel"/>
    <w:tmpl w:val="7BE0B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54402"/>
    <w:multiLevelType w:val="multilevel"/>
    <w:tmpl w:val="654EB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C93E3B"/>
    <w:multiLevelType w:val="hybridMultilevel"/>
    <w:tmpl w:val="2B0859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10313"/>
    <w:multiLevelType w:val="hybridMultilevel"/>
    <w:tmpl w:val="293C5744"/>
    <w:lvl w:ilvl="0" w:tplc="06F2D1BE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6230A"/>
    <w:multiLevelType w:val="multilevel"/>
    <w:tmpl w:val="04521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246812">
    <w:abstractNumId w:val="10"/>
  </w:num>
  <w:num w:numId="2" w16cid:durableId="924846055">
    <w:abstractNumId w:val="10"/>
  </w:num>
  <w:num w:numId="3" w16cid:durableId="1090001262">
    <w:abstractNumId w:val="14"/>
  </w:num>
  <w:num w:numId="4" w16cid:durableId="367989780">
    <w:abstractNumId w:val="7"/>
  </w:num>
  <w:num w:numId="5" w16cid:durableId="1997495394">
    <w:abstractNumId w:val="6"/>
  </w:num>
  <w:num w:numId="6" w16cid:durableId="1894076051">
    <w:abstractNumId w:val="2"/>
  </w:num>
  <w:num w:numId="7" w16cid:durableId="1792092096">
    <w:abstractNumId w:val="2"/>
  </w:num>
  <w:num w:numId="8" w16cid:durableId="1611661739">
    <w:abstractNumId w:val="14"/>
  </w:num>
  <w:num w:numId="9" w16cid:durableId="1747263963">
    <w:abstractNumId w:val="14"/>
  </w:num>
  <w:num w:numId="10" w16cid:durableId="1700277024">
    <w:abstractNumId w:val="9"/>
  </w:num>
  <w:num w:numId="11" w16cid:durableId="1329600113">
    <w:abstractNumId w:val="23"/>
  </w:num>
  <w:num w:numId="12" w16cid:durableId="102264314">
    <w:abstractNumId w:val="0"/>
  </w:num>
  <w:num w:numId="13" w16cid:durableId="150415461">
    <w:abstractNumId w:val="26"/>
  </w:num>
  <w:num w:numId="14" w16cid:durableId="1001355596">
    <w:abstractNumId w:val="18"/>
  </w:num>
  <w:num w:numId="15" w16cid:durableId="741148391">
    <w:abstractNumId w:val="8"/>
  </w:num>
  <w:num w:numId="16" w16cid:durableId="1268081318">
    <w:abstractNumId w:val="17"/>
  </w:num>
  <w:num w:numId="17" w16cid:durableId="1002659174">
    <w:abstractNumId w:val="27"/>
  </w:num>
  <w:num w:numId="18" w16cid:durableId="1320890997">
    <w:abstractNumId w:val="24"/>
  </w:num>
  <w:num w:numId="19" w16cid:durableId="1472597813">
    <w:abstractNumId w:val="22"/>
  </w:num>
  <w:num w:numId="20" w16cid:durableId="1669795040">
    <w:abstractNumId w:val="11"/>
  </w:num>
  <w:num w:numId="21" w16cid:durableId="1389914991">
    <w:abstractNumId w:val="25"/>
  </w:num>
  <w:num w:numId="22" w16cid:durableId="1482966360">
    <w:abstractNumId w:val="12"/>
  </w:num>
  <w:num w:numId="23" w16cid:durableId="542837309">
    <w:abstractNumId w:val="21"/>
  </w:num>
  <w:num w:numId="24" w16cid:durableId="409353129">
    <w:abstractNumId w:val="15"/>
  </w:num>
  <w:num w:numId="25" w16cid:durableId="737870499">
    <w:abstractNumId w:val="19"/>
  </w:num>
  <w:num w:numId="26" w16cid:durableId="1198592223">
    <w:abstractNumId w:val="4"/>
  </w:num>
  <w:num w:numId="27" w16cid:durableId="1863670213">
    <w:abstractNumId w:val="16"/>
  </w:num>
  <w:num w:numId="28" w16cid:durableId="98641880">
    <w:abstractNumId w:val="20"/>
  </w:num>
  <w:num w:numId="29" w16cid:durableId="539704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1941896">
    <w:abstractNumId w:val="5"/>
  </w:num>
  <w:num w:numId="31" w16cid:durableId="1065835199">
    <w:abstractNumId w:val="1"/>
  </w:num>
  <w:num w:numId="32" w16cid:durableId="100054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ED"/>
    <w:rsid w:val="00017A88"/>
    <w:rsid w:val="00020CBD"/>
    <w:rsid w:val="00023F24"/>
    <w:rsid w:val="00024AFD"/>
    <w:rsid w:val="00043BBE"/>
    <w:rsid w:val="000459BC"/>
    <w:rsid w:val="00046BB5"/>
    <w:rsid w:val="00050D33"/>
    <w:rsid w:val="00060745"/>
    <w:rsid w:val="000668B0"/>
    <w:rsid w:val="00077439"/>
    <w:rsid w:val="00086856"/>
    <w:rsid w:val="000A116B"/>
    <w:rsid w:val="000A62B0"/>
    <w:rsid w:val="000C0AF9"/>
    <w:rsid w:val="000C22CC"/>
    <w:rsid w:val="000C77BD"/>
    <w:rsid w:val="000E27CA"/>
    <w:rsid w:val="000E3161"/>
    <w:rsid w:val="00107F4B"/>
    <w:rsid w:val="00127551"/>
    <w:rsid w:val="001342FC"/>
    <w:rsid w:val="001540CC"/>
    <w:rsid w:val="00154B56"/>
    <w:rsid w:val="001556A4"/>
    <w:rsid w:val="00157E6E"/>
    <w:rsid w:val="001610CF"/>
    <w:rsid w:val="00171882"/>
    <w:rsid w:val="001721E4"/>
    <w:rsid w:val="001801B9"/>
    <w:rsid w:val="0019417A"/>
    <w:rsid w:val="00194C14"/>
    <w:rsid w:val="001A01EC"/>
    <w:rsid w:val="001A631E"/>
    <w:rsid w:val="001D4F1C"/>
    <w:rsid w:val="00220284"/>
    <w:rsid w:val="00226856"/>
    <w:rsid w:val="00227071"/>
    <w:rsid w:val="00234660"/>
    <w:rsid w:val="00244467"/>
    <w:rsid w:val="00254AAE"/>
    <w:rsid w:val="00272480"/>
    <w:rsid w:val="002743C8"/>
    <w:rsid w:val="002906F4"/>
    <w:rsid w:val="002A65FE"/>
    <w:rsid w:val="002B7B5D"/>
    <w:rsid w:val="002C6063"/>
    <w:rsid w:val="00336E5D"/>
    <w:rsid w:val="0036790F"/>
    <w:rsid w:val="00393090"/>
    <w:rsid w:val="003C558E"/>
    <w:rsid w:val="003D461F"/>
    <w:rsid w:val="003E63EA"/>
    <w:rsid w:val="004062FF"/>
    <w:rsid w:val="00413277"/>
    <w:rsid w:val="00442BDF"/>
    <w:rsid w:val="004434DB"/>
    <w:rsid w:val="00452765"/>
    <w:rsid w:val="00454B7A"/>
    <w:rsid w:val="00457A50"/>
    <w:rsid w:val="00461E00"/>
    <w:rsid w:val="0047377E"/>
    <w:rsid w:val="004A18C7"/>
    <w:rsid w:val="004A18D5"/>
    <w:rsid w:val="004A24C5"/>
    <w:rsid w:val="004A2EE0"/>
    <w:rsid w:val="004A5185"/>
    <w:rsid w:val="004A66ED"/>
    <w:rsid w:val="004B5875"/>
    <w:rsid w:val="004D18F9"/>
    <w:rsid w:val="004F6299"/>
    <w:rsid w:val="005123B4"/>
    <w:rsid w:val="00512BB2"/>
    <w:rsid w:val="0053147B"/>
    <w:rsid w:val="005358CB"/>
    <w:rsid w:val="00540CB1"/>
    <w:rsid w:val="005415DB"/>
    <w:rsid w:val="00547460"/>
    <w:rsid w:val="00555A74"/>
    <w:rsid w:val="005748A2"/>
    <w:rsid w:val="00587214"/>
    <w:rsid w:val="005944EC"/>
    <w:rsid w:val="005A180B"/>
    <w:rsid w:val="005C2741"/>
    <w:rsid w:val="005C2EA3"/>
    <w:rsid w:val="005F0750"/>
    <w:rsid w:val="005F2034"/>
    <w:rsid w:val="005F49FD"/>
    <w:rsid w:val="00605E7E"/>
    <w:rsid w:val="00610A44"/>
    <w:rsid w:val="0062215B"/>
    <w:rsid w:val="00645FD0"/>
    <w:rsid w:val="0065387D"/>
    <w:rsid w:val="0066773E"/>
    <w:rsid w:val="00671977"/>
    <w:rsid w:val="006A37DD"/>
    <w:rsid w:val="006C7026"/>
    <w:rsid w:val="006E2B08"/>
    <w:rsid w:val="006F5B30"/>
    <w:rsid w:val="00703C7A"/>
    <w:rsid w:val="00712F3E"/>
    <w:rsid w:val="00713908"/>
    <w:rsid w:val="00722D19"/>
    <w:rsid w:val="007254F5"/>
    <w:rsid w:val="00772066"/>
    <w:rsid w:val="00781324"/>
    <w:rsid w:val="00781707"/>
    <w:rsid w:val="00793FD9"/>
    <w:rsid w:val="007C1153"/>
    <w:rsid w:val="007D4237"/>
    <w:rsid w:val="007D5E38"/>
    <w:rsid w:val="007E647C"/>
    <w:rsid w:val="007E72EF"/>
    <w:rsid w:val="007F2CBE"/>
    <w:rsid w:val="0080775F"/>
    <w:rsid w:val="00811D12"/>
    <w:rsid w:val="00842396"/>
    <w:rsid w:val="0084271A"/>
    <w:rsid w:val="0086660F"/>
    <w:rsid w:val="00867906"/>
    <w:rsid w:val="00867A50"/>
    <w:rsid w:val="0087094B"/>
    <w:rsid w:val="008D44CC"/>
    <w:rsid w:val="008E028B"/>
    <w:rsid w:val="008E75FF"/>
    <w:rsid w:val="00900FA5"/>
    <w:rsid w:val="00933554"/>
    <w:rsid w:val="009429D9"/>
    <w:rsid w:val="0095185B"/>
    <w:rsid w:val="0096063F"/>
    <w:rsid w:val="0097068C"/>
    <w:rsid w:val="00970743"/>
    <w:rsid w:val="00971A6A"/>
    <w:rsid w:val="0098794E"/>
    <w:rsid w:val="00996E9B"/>
    <w:rsid w:val="009C40C4"/>
    <w:rsid w:val="009C736F"/>
    <w:rsid w:val="009D40D5"/>
    <w:rsid w:val="009E1724"/>
    <w:rsid w:val="009F16F3"/>
    <w:rsid w:val="00AA2DE2"/>
    <w:rsid w:val="00AB06C5"/>
    <w:rsid w:val="00AB079E"/>
    <w:rsid w:val="00B161C0"/>
    <w:rsid w:val="00B54BEF"/>
    <w:rsid w:val="00B57975"/>
    <w:rsid w:val="00B763CC"/>
    <w:rsid w:val="00B87BC8"/>
    <w:rsid w:val="00BA0C59"/>
    <w:rsid w:val="00BB732A"/>
    <w:rsid w:val="00BC072E"/>
    <w:rsid w:val="00BC238E"/>
    <w:rsid w:val="00BE1432"/>
    <w:rsid w:val="00C00B5A"/>
    <w:rsid w:val="00C109B2"/>
    <w:rsid w:val="00C11D4D"/>
    <w:rsid w:val="00C150FE"/>
    <w:rsid w:val="00C22FB8"/>
    <w:rsid w:val="00C45361"/>
    <w:rsid w:val="00C46E34"/>
    <w:rsid w:val="00C52943"/>
    <w:rsid w:val="00C55759"/>
    <w:rsid w:val="00C61919"/>
    <w:rsid w:val="00C96359"/>
    <w:rsid w:val="00CB3F1F"/>
    <w:rsid w:val="00CC66A3"/>
    <w:rsid w:val="00D12091"/>
    <w:rsid w:val="00D263E1"/>
    <w:rsid w:val="00D34B5E"/>
    <w:rsid w:val="00D46A91"/>
    <w:rsid w:val="00D624AA"/>
    <w:rsid w:val="00D8231B"/>
    <w:rsid w:val="00D86C15"/>
    <w:rsid w:val="00DD0750"/>
    <w:rsid w:val="00DE2E2E"/>
    <w:rsid w:val="00DF6C6F"/>
    <w:rsid w:val="00E17F0D"/>
    <w:rsid w:val="00E17F9C"/>
    <w:rsid w:val="00E4531C"/>
    <w:rsid w:val="00E453AD"/>
    <w:rsid w:val="00E54AE4"/>
    <w:rsid w:val="00E6094E"/>
    <w:rsid w:val="00E80DFE"/>
    <w:rsid w:val="00E83136"/>
    <w:rsid w:val="00E95B2B"/>
    <w:rsid w:val="00EF75FF"/>
    <w:rsid w:val="00F022BD"/>
    <w:rsid w:val="00F064BA"/>
    <w:rsid w:val="00F13A61"/>
    <w:rsid w:val="00F17F96"/>
    <w:rsid w:val="00F27114"/>
    <w:rsid w:val="00F33D5F"/>
    <w:rsid w:val="00F660B9"/>
    <w:rsid w:val="00F7045C"/>
    <w:rsid w:val="00F70E7F"/>
    <w:rsid w:val="00F82573"/>
    <w:rsid w:val="00F95A6F"/>
    <w:rsid w:val="00FB0F03"/>
    <w:rsid w:val="00FD3BCE"/>
    <w:rsid w:val="00FE21B4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C1244A3"/>
  <w15:docId w15:val="{4D645D9C-376B-467A-95B3-F53CA09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19"/>
    <w:pPr>
      <w:spacing w:after="0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82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882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54BEF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A66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28C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6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28C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acing"/>
    <w:next w:val="Normal"/>
    <w:uiPriority w:val="1"/>
    <w:rsid w:val="00722D19"/>
    <w:pPr>
      <w:spacing w:after="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71882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882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387D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387D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Subtitle">
    <w:name w:val="Subtitle"/>
    <w:aliases w:val="C Heading 1"/>
    <w:basedOn w:val="Heading1"/>
    <w:next w:val="Normal"/>
    <w:link w:val="SubtitleChar"/>
    <w:uiPriority w:val="11"/>
    <w:rsid w:val="002B7B5D"/>
    <w:pPr>
      <w:numPr>
        <w:ilvl w:val="1"/>
      </w:numPr>
    </w:pPr>
    <w:rPr>
      <w:iCs/>
      <w:color w:val="7F99AA"/>
      <w:spacing w:val="15"/>
      <w:szCs w:val="24"/>
    </w:rPr>
  </w:style>
  <w:style w:type="character" w:customStyle="1" w:styleId="SubtitleChar">
    <w:name w:val="Subtitle Char"/>
    <w:aliases w:val="C Heading 1 Char"/>
    <w:basedOn w:val="DefaultParagraphFont"/>
    <w:link w:val="Subtitle"/>
    <w:uiPriority w:val="11"/>
    <w:rsid w:val="002B7B5D"/>
    <w:rPr>
      <w:rFonts w:ascii="Arial" w:eastAsiaTheme="majorEastAsia" w:hAnsi="Arial" w:cstheme="majorBidi"/>
      <w:b/>
      <w:bCs/>
      <w:iCs/>
      <w:color w:val="7F99AA"/>
      <w:spacing w:val="15"/>
      <w:sz w:val="28"/>
      <w:szCs w:val="24"/>
    </w:rPr>
  </w:style>
  <w:style w:type="character" w:styleId="SubtleEmphasis">
    <w:name w:val="Subtle Emphasis"/>
    <w:aliases w:val="C Heading 2"/>
    <w:basedOn w:val="Heading2Char"/>
    <w:uiPriority w:val="19"/>
    <w:rsid w:val="002B7B5D"/>
    <w:rPr>
      <w:rFonts w:ascii="Arial" w:eastAsiaTheme="majorEastAsia" w:hAnsi="Arial" w:cstheme="majorBidi"/>
      <w:b/>
      <w:bCs/>
      <w:i w:val="0"/>
      <w:iCs/>
      <w:color w:val="7F99AA"/>
      <w:sz w:val="26"/>
      <w:szCs w:val="26"/>
    </w:rPr>
  </w:style>
  <w:style w:type="paragraph" w:styleId="ListParagraph">
    <w:name w:val="List Paragraph"/>
    <w:basedOn w:val="Normal"/>
    <w:uiPriority w:val="34"/>
    <w:qFormat/>
    <w:rsid w:val="0098794E"/>
  </w:style>
  <w:style w:type="paragraph" w:styleId="Header">
    <w:name w:val="header"/>
    <w:basedOn w:val="Normal"/>
    <w:link w:val="HeaderChar"/>
    <w:uiPriority w:val="99"/>
    <w:unhideWhenUsed/>
    <w:rsid w:val="009335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54"/>
    <w:rPr>
      <w:rFonts w:ascii="Arial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35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54"/>
    <w:rPr>
      <w:rFonts w:ascii="Arial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54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rsid w:val="0098794E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rsid w:val="0098794E"/>
    <w:rPr>
      <w:i/>
      <w:iCs/>
    </w:rPr>
  </w:style>
  <w:style w:type="paragraph" w:customStyle="1" w:styleId="SubListParagrah">
    <w:name w:val="Sub List Paragrah"/>
    <w:basedOn w:val="ListParagraph"/>
    <w:rsid w:val="001610CF"/>
    <w:pPr>
      <w:numPr>
        <w:numId w:val="9"/>
      </w:numPr>
      <w:tabs>
        <w:tab w:val="left" w:pos="357"/>
      </w:tabs>
    </w:pPr>
  </w:style>
  <w:style w:type="numbering" w:customStyle="1" w:styleId="Number">
    <w:name w:val="Number"/>
    <w:basedOn w:val="NoList"/>
    <w:uiPriority w:val="99"/>
    <w:rsid w:val="0098794E"/>
    <w:pPr>
      <w:numPr>
        <w:numId w:val="4"/>
      </w:numPr>
    </w:pPr>
  </w:style>
  <w:style w:type="paragraph" w:customStyle="1" w:styleId="Numberlists">
    <w:name w:val="Number lists"/>
    <w:basedOn w:val="Normal"/>
    <w:next w:val="ListParagraph"/>
    <w:rsid w:val="00B763CC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B54BEF"/>
    <w:rPr>
      <w:rFonts w:ascii="Arial" w:eastAsiaTheme="majorEastAsia" w:hAnsi="Arial" w:cstheme="majorBidi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A66ED"/>
    <w:rPr>
      <w:rFonts w:asciiTheme="majorHAnsi" w:eastAsiaTheme="majorEastAsia" w:hAnsiTheme="majorHAnsi" w:cstheme="majorBidi"/>
      <w:i/>
      <w:iCs/>
      <w:color w:val="528C88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660F"/>
    <w:rPr>
      <w:rFonts w:asciiTheme="majorHAnsi" w:eastAsiaTheme="majorEastAsia" w:hAnsiTheme="majorHAnsi" w:cstheme="majorBidi"/>
      <w:color w:val="528C88" w:themeColor="accent1" w:themeShade="BF"/>
      <w:szCs w:val="20"/>
    </w:rPr>
  </w:style>
  <w:style w:type="table" w:styleId="TableGrid">
    <w:name w:val="Table Grid"/>
    <w:basedOn w:val="TableNormal"/>
    <w:uiPriority w:val="59"/>
    <w:rsid w:val="0022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743"/>
    <w:pPr>
      <w:spacing w:after="0" w:line="240" w:lineRule="auto"/>
    </w:pPr>
    <w:rPr>
      <w:rFonts w:ascii="Arial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66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66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66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abinteg mix">
      <a:dk1>
        <a:sysClr val="windowText" lastClr="000000"/>
      </a:dk1>
      <a:lt1>
        <a:sysClr val="window" lastClr="FFFFFF"/>
      </a:lt1>
      <a:dk2>
        <a:srgbClr val="5E534E"/>
      </a:dk2>
      <a:lt2>
        <a:srgbClr val="E71F58"/>
      </a:lt2>
      <a:accent1>
        <a:srgbClr val="7AB1AD"/>
      </a:accent1>
      <a:accent2>
        <a:srgbClr val="FDB913"/>
      </a:accent2>
      <a:accent3>
        <a:srgbClr val="87747B"/>
      </a:accent3>
      <a:accent4>
        <a:srgbClr val="8DC63F"/>
      </a:accent4>
      <a:accent5>
        <a:srgbClr val="716FB3"/>
      </a:accent5>
      <a:accent6>
        <a:srgbClr val="F58025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2AB8-9D4F-433E-BEAB-1E3BD4A2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Dingwall</dc:creator>
  <cp:lastModifiedBy>Anne-Marie Owens</cp:lastModifiedBy>
  <cp:revision>6</cp:revision>
  <cp:lastPrinted>2025-01-23T06:06:00Z</cp:lastPrinted>
  <dcterms:created xsi:type="dcterms:W3CDTF">2024-12-06T10:45:00Z</dcterms:created>
  <dcterms:modified xsi:type="dcterms:W3CDTF">2025-02-20T10:13:00Z</dcterms:modified>
</cp:coreProperties>
</file>